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>Тульская область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>МУНИЦИПАЛЬНОЕ ОБРАЗОВАНИЕ АРСЕНЬЕВСКИЙ РАЙОН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>МКУ «КОНТРОЛЬНО-СЧЕТНАЯ  КОМИССИЯ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>МУНИЦИПАЛЬНОГО ОБРАЗОВАНИЯ   АРСЕНЬЕВСКИЙ РАЙОН»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 xml:space="preserve">              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cs="Times New Roman"/>
          <w:b/>
          <w:sz w:val="20"/>
        </w:rPr>
        <w:t>301510, Российская Федерация, Тульская область, п. Арсеньево, ул. Папанина, 6.</w:t>
      </w:r>
    </w:p>
    <w:p>
      <w:pPr>
        <w:pStyle w:val="Normal"/>
        <w:ind w:left="708" w:right="0" w:hanging="0"/>
        <w:jc w:val="center"/>
        <w:rPr>
          <w:sz w:val="16"/>
        </w:rPr>
      </w:pPr>
      <w:r>
        <w:rPr>
          <w:rFonts w:cs="Times New Roman"/>
          <w:b/>
          <w:sz w:val="20"/>
        </w:rPr>
        <w:t xml:space="preserve">Тел./факс(48733)2-14-70; 8(48733)2-15-32                                                          </w:t>
      </w:r>
    </w:p>
    <w:p>
      <w:pPr>
        <w:pStyle w:val="Normal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</w:r>
    </w:p>
    <w:p>
      <w:pPr>
        <w:pStyle w:val="Style22"/>
        <w:tabs>
          <w:tab w:val="clear" w:pos="708"/>
          <w:tab w:val="left" w:pos="2410" w:leader="none"/>
          <w:tab w:val="left" w:pos="3969" w:leader="none"/>
        </w:tabs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№ 10</w:t>
      </w:r>
    </w:p>
    <w:p>
      <w:pPr>
        <w:pStyle w:val="Style22"/>
        <w:tabs>
          <w:tab w:val="clear" w:pos="708"/>
          <w:tab w:val="left" w:pos="2410" w:leader="none"/>
          <w:tab w:val="left" w:pos="3969" w:leader="none"/>
        </w:tabs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результатам экспертно-аналитического мероприятия  о ходе исполнения  бюджета  муниципального образования рабочий посёлок Арсеньево Арсеньевского района за 1 квартал  2024 года.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от 10 апреля 2024 г.                                                                                          р.п. Арсеньево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1. Основание для проведения экспертизы</w:t>
      </w:r>
      <w:r>
        <w:rPr>
          <w:sz w:val="24"/>
          <w:szCs w:val="24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 муниципального образования Арсеньевский район, утвержденное  решением Собрания представителей муниципального образования Арсеньевский район от 15.11.2021 года № 37/175, Положение о бюджетном процессе в муниципальном образовании рабочий посёлок Арсеньево Арсеньевского района, утверждённое решением Собрания депутатов муниципального образования рабочий посёлок Арсеньево Арсеньевского района от 17.04.2020 № 18-70.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2. Цель экспертизы</w:t>
      </w:r>
      <w:r>
        <w:rPr>
          <w:sz w:val="24"/>
          <w:szCs w:val="24"/>
        </w:rPr>
        <w:t>: информация о ходе исполнения бюджета муниципального образования рабочий посёлок Арсеньево Арсеньевского района за 1 квартал  2024 года.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3. Предмет экспертизы</w:t>
      </w:r>
      <w:r>
        <w:rPr>
          <w:sz w:val="24"/>
          <w:szCs w:val="24"/>
        </w:rPr>
        <w:t>: постановление администрации муниципального образования Арсеньевский район  «Об утверждении отчета об исполнении бюджета муниципального образования рабочий посёлок Арсеньево Арсеньевского района за 1 квартал 2024 года»</w:t>
      </w:r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Основным методом проведения экспертно-аналитического мероприятия является анализ соответствия отчета об исполнении бюджета МО рабочий посёлок Арсеньево Арсеньевского района за 1 квартал 2024 года требованиям Бюджетного кодекса РФ, характеристикам и параметрам решения Собрания депутатов муниципального образования рабочий посёлок Арсеньево Арсеньевского района от 25.12.2023 г. № 4/14 «</w:t>
      </w:r>
      <w:r>
        <w:rPr>
          <w:b w:val="false"/>
          <w:bCs w:val="false"/>
          <w:sz w:val="24"/>
          <w:szCs w:val="24"/>
        </w:rPr>
        <w:t>Об утверждении бюджета муниципального образования рабочий посёлок Арсеньево Арсеньевского района на 2024 год и плановый период 2025 и 2026 годов»  (далее - Решение о бюджете).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Согласно Решения о бюджете, основные характеристики бюджета муниципального образования  рабочий посёлок Арсеньево  на 2024 год утверждены в следующих объемах: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Общий объем доходов в сумме -21999,4тыс.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Общий объем расходов сумме   - 22846,6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Исполнение за 1 квартал 2024 года согласно отчета об исполнении бюджета муниципального образования рабочий посёлок Арсеньево Арсеньевского района составило по доходам 5044,1 тыс. руб., по расходам 5372,1 тыс. руб., бюджет  исполнен с превышением  расходов над доходами, то есть с дефицитом  в сумме 328,0 тыс. руб.</w:t>
      </w:r>
    </w:p>
    <w:p>
      <w:pPr>
        <w:pStyle w:val="ListParagraph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Основные параметры бюджета муниципального образования рабочий посёлок Арсеньево Арсеньевского района за 1 квартал  2024 года представлены в таблице (тыс. руб.): 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1277"/>
        <w:gridCol w:w="1275"/>
        <w:gridCol w:w="1275"/>
        <w:gridCol w:w="1994"/>
        <w:gridCol w:w="1267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Утвер-жденный план 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Исполнение за 1 квартал 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Исполнение за 1 квартал 2023г.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Отклонение от исполнения 1 квартал 2023г.</w:t>
            </w:r>
          </w:p>
          <w:p>
            <w:pPr>
              <w:pStyle w:val="Normal"/>
              <w:widowControl w:val="false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% исполне-ния к  плану 2024 г.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бюджета всего в т.ч.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21999,4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5044,1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3914,1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+1130,0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10583,5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2479,1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1868,1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11415,8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2060,1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+504,9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>
        <w:trPr>
          <w:trHeight w:val="336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Расходы бюджета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22846,6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5372,1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3933,6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+1438,5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Дефицит (-)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Профицит (+)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-847,2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-328,0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-19,5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-308,5</w:t>
            </w:r>
          </w:p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ххх</w:t>
            </w:r>
          </w:p>
        </w:tc>
      </w:tr>
    </w:tbl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805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805"/>
        <w:jc w:val="center"/>
        <w:rPr>
          <w:b/>
          <w:bCs/>
        </w:rPr>
      </w:pPr>
      <w:r>
        <w:rPr>
          <w:b/>
          <w:bCs/>
          <w:sz w:val="24"/>
          <w:szCs w:val="24"/>
        </w:rPr>
        <w:t>4. Исполнение основных характеристик бюджета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8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За 1 квартал 2024 года в доход бюджета муниципального образования рабочий посёлок Арсеньево Арсеньевского  района поступило доходов в сумме 5044,1 тыс. рублей, что составило 22,9 % от утвержденного годового плана. Расходы исполнены в сумме 5372,1 тыс. рублей или 23,5 % годовых значений. 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По итогам 1 квартала 2024 года сложился дефицит бюджета, который  составил 328,0 тыс. рублей.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center"/>
        <w:rPr/>
      </w:pPr>
      <w:r>
        <w:rPr>
          <w:b/>
          <w:bCs/>
          <w:sz w:val="24"/>
          <w:szCs w:val="24"/>
        </w:rPr>
        <w:t>5. Доходы бюджета  муниципального образования рабочий посёлок Арсеньево Арсеньевского района за 1 квартал 2024 года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Доходная часть бюджета муниципального образования рабочий посёлок Арсеньево Арсеньевского района по итогам 1 квартала 2024 года исполнена в сумме 5044,1 тыс. рублей, что составляет 22,9 % годового значения. 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left="0" w:right="23" w:firstLine="8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Доля налоговых и неналоговых доходов в общем объёме поступлений составила 49,1 % или 2479,1 тыс. рублей или 23,4 % от годового  плана.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Безвозмездные поступления за 1 квартал  2024 года составили 2565,0 тыс. руб., в том числе дотация бюджетам субъектов Российской Федерации в сумме 686,1 тыс. руб. или 25,0 % плановых назначений, иные межбюджетные трансферты в сумме 1781,9 тыс. руб., и</w:t>
      </w:r>
      <w:r>
        <w:rPr>
          <w:b w:val="false"/>
          <w:bCs w:val="false"/>
          <w:color w:val="262626"/>
          <w:sz w:val="24"/>
          <w:szCs w:val="24"/>
        </w:rPr>
        <w:t>ли</w:t>
      </w:r>
      <w:r>
        <w:rPr>
          <w:b w:val="false"/>
          <w:bCs w:val="false"/>
          <w:sz w:val="24"/>
          <w:szCs w:val="24"/>
        </w:rPr>
        <w:t xml:space="preserve"> 21,6 %, субвенции на ВУС 97,0 тыс. руб., или  22,5 % к плану года.</w:t>
      </w:r>
    </w:p>
    <w:p>
      <w:pPr>
        <w:pStyle w:val="Normal"/>
        <w:spacing w:before="0" w:after="120"/>
        <w:ind w:left="0" w:right="0" w:firstLine="8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225"/>
        <w:jc w:val="center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Объём поступлений доходов бюджета  по итогам 1 квартала 2024 года:</w:t>
      </w:r>
    </w:p>
    <w:p>
      <w:pPr>
        <w:pStyle w:val="Normal"/>
        <w:spacing w:before="0" w:after="225"/>
        <w:jc w:val="right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тыс. рублей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3859"/>
        <w:gridCol w:w="1131"/>
        <w:gridCol w:w="1490"/>
        <w:gridCol w:w="1065"/>
      </w:tblGrid>
      <w:tr>
        <w:trPr>
          <w:tblHeader w:val="true"/>
          <w:cantSplit w:val="true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Наименование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План 2024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Факт исполнения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I</w:t>
            </w:r>
            <w:r>
              <w:rPr>
                <w:b w:val="false"/>
                <w:bCs w:val="false"/>
                <w:sz w:val="24"/>
                <w:szCs w:val="24"/>
              </w:rPr>
              <w:t xml:space="preserve"> квартала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% исполнения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0 00 00000 00 0000 000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Всего доходов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21999,4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5044,1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22,9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10583,5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2479,1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23,4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1 01 02000 01 0000 110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5484,5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1211,9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22,1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105 00000 00 0000 000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295,6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471,1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159,4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1 06 00000 00 0000 000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Налог на имущество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3838,4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650,5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16,9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1 11 00000 00 0000 000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715,0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96,3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13,5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114 00000 00 0000 000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Доходы от продажи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49,2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19,7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 </w:t>
            </w:r>
            <w:r>
              <w:rPr>
                <w:b w:val="false"/>
                <w:bCs w:val="false"/>
                <w:sz w:val="24"/>
                <w:szCs w:val="24"/>
              </w:rPr>
              <w:t>200 00000 00 0000 000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11415,8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2565,0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22,5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> 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6. Исполнение расходной части бюджета по итогам </w:t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1 квартала  2024 года 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Расходы бюджета поселения  за 1 квартал 2024 года составили 5372,1 тыс. рублей или 23,5 % к утвержденным бюджетным назначениям в том числе: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по разделу 0100 «Общегосударственные вопросы» - план 135,0 тыс. руб., расходы 2,6 тыс. руб. или 1,9% к плану года.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 w:val="false"/>
          <w:bCs w:val="false"/>
          <w:sz w:val="24"/>
          <w:szCs w:val="24"/>
        </w:rPr>
        <w:t xml:space="preserve">- по разделу 0200 «Национальная оборона» - план 431,4 тыс. руб., расходы 89,5 тыс. руб. или </w:t>
      </w:r>
      <w:r>
        <w:rPr>
          <w:b w:val="false"/>
          <w:bCs w:val="false"/>
          <w:sz w:val="24"/>
          <w:szCs w:val="24"/>
        </w:rPr>
        <w:t>20,7</w:t>
      </w:r>
      <w:r>
        <w:rPr>
          <w:b w:val="false"/>
          <w:bCs w:val="false"/>
          <w:sz w:val="24"/>
          <w:szCs w:val="24"/>
        </w:rPr>
        <w:t>%.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- по разделу  0400  «Национальная экономика» расходы при плане года </w:t>
      </w:r>
      <w:r>
        <w:rPr>
          <w:b w:val="false"/>
          <w:bCs w:val="false"/>
          <w:sz w:val="24"/>
          <w:szCs w:val="24"/>
        </w:rPr>
        <w:t>1096,7</w:t>
      </w:r>
      <w:r>
        <w:rPr>
          <w:b w:val="false"/>
          <w:bCs w:val="false"/>
          <w:sz w:val="24"/>
          <w:szCs w:val="24"/>
        </w:rPr>
        <w:t xml:space="preserve"> тыс. руб.,  расходы составили 15,0 тыс.руб. или 1,4 %.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- по разделу 0500 «Жилищно-коммунальное хозяйство» расходы при плане </w:t>
      </w:r>
      <w:r>
        <w:rPr>
          <w:b w:val="false"/>
          <w:bCs w:val="false"/>
          <w:sz w:val="24"/>
          <w:szCs w:val="24"/>
        </w:rPr>
        <w:t>10346,0</w:t>
      </w:r>
      <w:r>
        <w:rPr>
          <w:b w:val="false"/>
          <w:bCs w:val="false"/>
          <w:sz w:val="24"/>
          <w:szCs w:val="24"/>
        </w:rPr>
        <w:t xml:space="preserve"> тыс. руб. исполнены на </w:t>
      </w:r>
      <w:r>
        <w:rPr>
          <w:b w:val="false"/>
          <w:bCs w:val="false"/>
          <w:sz w:val="24"/>
          <w:szCs w:val="24"/>
        </w:rPr>
        <w:t>22,1</w:t>
      </w:r>
      <w:r>
        <w:rPr>
          <w:b w:val="false"/>
          <w:bCs w:val="false"/>
          <w:sz w:val="24"/>
          <w:szCs w:val="24"/>
        </w:rPr>
        <w:t xml:space="preserve"> % или </w:t>
      </w:r>
      <w:r>
        <w:rPr>
          <w:b w:val="false"/>
          <w:bCs w:val="false"/>
          <w:sz w:val="24"/>
          <w:szCs w:val="24"/>
        </w:rPr>
        <w:t>2281,3</w:t>
      </w:r>
      <w:r>
        <w:rPr>
          <w:b w:val="false"/>
          <w:bCs w:val="false"/>
          <w:sz w:val="24"/>
          <w:szCs w:val="24"/>
        </w:rPr>
        <w:t xml:space="preserve"> тыс. рублей. 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по разделу 0800 «Культура и кинематография» исполнение расходов за первый квартал 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при плане 1</w:t>
      </w:r>
      <w:r>
        <w:rPr>
          <w:b w:val="false"/>
          <w:bCs w:val="false"/>
          <w:sz w:val="24"/>
          <w:szCs w:val="24"/>
        </w:rPr>
        <w:t>0817,5</w:t>
      </w:r>
      <w:r>
        <w:rPr>
          <w:b w:val="false"/>
          <w:bCs w:val="false"/>
          <w:sz w:val="24"/>
          <w:szCs w:val="24"/>
        </w:rPr>
        <w:t xml:space="preserve"> тыс. руб. составило  2</w:t>
      </w:r>
      <w:r>
        <w:rPr>
          <w:b w:val="false"/>
          <w:bCs w:val="false"/>
          <w:sz w:val="24"/>
          <w:szCs w:val="24"/>
        </w:rPr>
        <w:t>7,6</w:t>
      </w:r>
      <w:r>
        <w:rPr>
          <w:b w:val="false"/>
          <w:bCs w:val="false"/>
          <w:sz w:val="24"/>
          <w:szCs w:val="24"/>
        </w:rPr>
        <w:t xml:space="preserve"> % или 2</w:t>
      </w:r>
      <w:r>
        <w:rPr>
          <w:b w:val="false"/>
          <w:bCs w:val="false"/>
          <w:sz w:val="24"/>
          <w:szCs w:val="24"/>
        </w:rPr>
        <w:t>983,7</w:t>
      </w:r>
      <w:r>
        <w:rPr>
          <w:b w:val="false"/>
          <w:bCs w:val="false"/>
          <w:sz w:val="24"/>
          <w:szCs w:val="24"/>
        </w:rPr>
        <w:t xml:space="preserve"> тыс. рублей.</w:t>
      </w:r>
    </w:p>
    <w:p>
      <w:pPr>
        <w:pStyle w:val="Normal"/>
        <w:ind w:left="0" w:right="0" w:firstLine="709"/>
        <w:jc w:val="both"/>
        <w:rPr>
          <w:b/>
          <w:bCs/>
        </w:rPr>
      </w:pPr>
      <w:r>
        <w:rPr>
          <w:b/>
          <w:bCs/>
          <w:sz w:val="24"/>
          <w:szCs w:val="24"/>
        </w:rPr>
        <w:t>-</w:t>
      </w:r>
      <w:r>
        <w:rPr>
          <w:b w:val="false"/>
          <w:bCs w:val="false"/>
          <w:sz w:val="24"/>
          <w:szCs w:val="24"/>
        </w:rPr>
        <w:t xml:space="preserve"> по разделу  1000 «Социальная политика»-план 20,0 тыс. руб., расходы в первом квартале  </w:t>
      </w:r>
      <w:r>
        <w:rPr>
          <w:b w:val="false"/>
          <w:bCs w:val="false"/>
          <w:sz w:val="24"/>
          <w:szCs w:val="24"/>
        </w:rPr>
        <w:t>не производились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widowControl w:val="false"/>
        <w:overflowPunct w:val="tru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Решением о бюджете муниципального образования рабочий посёлок Арсеньево Арсеньевского района утвержден   Перечень и объем ассигнований на финансовое обеспечение реализации</w:t>
      </w:r>
      <w:r>
        <w:rPr>
          <w:b/>
          <w:bCs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3 муниципальных программ. Финансирование  в рамках  муниципальной программы «Модернизация и развитие автомобильных дорог общего пользования в МО рабочий посёлок Арсеньево» не осуществлялось,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программа «Благоустройство территории рабочего посёлка Арсеньево» профинансирована на </w:t>
      </w:r>
      <w:r>
        <w:rPr>
          <w:b w:val="false"/>
          <w:bCs w:val="false"/>
          <w:sz w:val="24"/>
          <w:szCs w:val="24"/>
        </w:rPr>
        <w:t>2281,3</w:t>
      </w:r>
      <w:r>
        <w:rPr>
          <w:b w:val="false"/>
          <w:bCs w:val="false"/>
          <w:sz w:val="24"/>
          <w:szCs w:val="24"/>
        </w:rPr>
        <w:t xml:space="preserve"> тыс. руб. выполнение составило </w:t>
      </w:r>
      <w:r>
        <w:rPr>
          <w:b w:val="false"/>
          <w:bCs w:val="false"/>
          <w:sz w:val="24"/>
          <w:szCs w:val="24"/>
        </w:rPr>
        <w:t>22,1</w:t>
      </w:r>
      <w:r>
        <w:rPr>
          <w:b w:val="false"/>
          <w:bCs w:val="false"/>
          <w:sz w:val="24"/>
          <w:szCs w:val="24"/>
        </w:rPr>
        <w:t>%, программа «Развитие культуры в муниципальном образовании рабочий посёлок Арсеньево» профинансирована на 2</w:t>
      </w:r>
      <w:r>
        <w:rPr>
          <w:b w:val="false"/>
          <w:bCs w:val="false"/>
          <w:sz w:val="24"/>
          <w:szCs w:val="24"/>
        </w:rPr>
        <w:t>983,7</w:t>
      </w:r>
      <w:r>
        <w:rPr>
          <w:b w:val="false"/>
          <w:bCs w:val="false"/>
          <w:sz w:val="24"/>
          <w:szCs w:val="24"/>
        </w:rPr>
        <w:t xml:space="preserve"> тыс.руб. выполнение составило 2</w:t>
      </w:r>
      <w:r>
        <w:rPr>
          <w:b w:val="false"/>
          <w:bCs w:val="false"/>
          <w:sz w:val="24"/>
          <w:szCs w:val="24"/>
        </w:rPr>
        <w:t>7,6</w:t>
      </w:r>
      <w:r>
        <w:rPr>
          <w:b w:val="false"/>
          <w:bCs w:val="false"/>
          <w:sz w:val="24"/>
          <w:szCs w:val="24"/>
        </w:rPr>
        <w:t>%.</w:t>
      </w:r>
    </w:p>
    <w:p>
      <w:pPr>
        <w:pStyle w:val="Normal"/>
        <w:widowControl w:val="false"/>
        <w:overflowPunct w:val="true"/>
        <w:spacing w:lineRule="auto" w:line="228"/>
        <w:ind w:left="0" w:right="20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1"/>
        <w:tabs>
          <w:tab w:val="clear" w:pos="708"/>
          <w:tab w:val="left" w:pos="709" w:leader="none"/>
        </w:tabs>
        <w:ind w:left="0" w:right="0" w:hanging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7. Анализ отчета об использовании бюджетных ассигнований резервного фонда администрации муниципального образования рабочий посёлок Арсеньево Арсеньевского района.</w:t>
      </w:r>
    </w:p>
    <w:p>
      <w:pPr>
        <w:pStyle w:val="Normal"/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В составе расходов бюджета  муниципального образования на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 предусмотрен резервный фонд администрации муниципального образования рабочий посёлок Арсеньево Арсеньевского района на финансовое обеспечение аварийно-восстановительных работ по ликвидации последствий стихийных бедствий и других чрезвычайных ситуаций в сумме 25,0 тыс. рублей.</w:t>
      </w:r>
    </w:p>
    <w:p>
      <w:pPr>
        <w:pStyle w:val="Normal"/>
        <w:keepNext w:val="true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Согласно отчету об использовании бюджетных ассигнований резервного фонда администрации муниципального образования  за 1 квартал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расходование средств резервного фонда не производилось.</w:t>
      </w:r>
    </w:p>
    <w:p>
      <w:pPr>
        <w:pStyle w:val="Normal"/>
        <w:ind w:left="0" w:right="0"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709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8.  Источники финансирования дефицита бюджета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Решением о бюджете   бюджет муниципального образования  рабочий посёлок Арсеньево Арсеньевского района   утверждён с дефицитом в размере </w:t>
      </w:r>
      <w:r>
        <w:rPr>
          <w:b w:val="false"/>
          <w:bCs w:val="false"/>
          <w:sz w:val="24"/>
          <w:szCs w:val="24"/>
        </w:rPr>
        <w:t>847,3</w:t>
      </w:r>
      <w:r>
        <w:rPr>
          <w:b w:val="false"/>
          <w:bCs w:val="false"/>
          <w:sz w:val="24"/>
          <w:szCs w:val="24"/>
        </w:rPr>
        <w:t xml:space="preserve"> тыс.руб.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В соответствии с отчётом об исполнении бюджета за 1 квартал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г., бюджет исполнен с превышением  расходов над доходами, то есть с дефицитом в объёме </w:t>
      </w:r>
      <w:r>
        <w:rPr>
          <w:b w:val="false"/>
          <w:bCs w:val="false"/>
          <w:sz w:val="24"/>
          <w:szCs w:val="24"/>
        </w:rPr>
        <w:t>328,0</w:t>
      </w:r>
      <w:r>
        <w:rPr>
          <w:b w:val="false"/>
          <w:bCs w:val="false"/>
          <w:sz w:val="24"/>
          <w:szCs w:val="24"/>
        </w:rPr>
        <w:t xml:space="preserve"> тыс. руб.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9.Анализ информации о численности работников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Учреждений культуры муниципального образования рабочий посёлок Арсеньево Арсеньевского района и фактических  затрат на  их  денежное содержание.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Согласно  информации о численности работников учреждений культуры муниципального образования рабочий посёлок Арсеньево Арсеньевского района с  указанием   затрат на  их  денежное содержание за 1 квартал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 численность работников составила 18  единиц.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Фактические затраты на денежное содержание работников учреждений культуры за 1 квартал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составили 1 </w:t>
      </w:r>
      <w:r>
        <w:rPr>
          <w:b w:val="false"/>
          <w:bCs w:val="false"/>
          <w:sz w:val="24"/>
          <w:szCs w:val="24"/>
        </w:rPr>
        <w:t xml:space="preserve">718 010,46 </w:t>
      </w:r>
      <w:r>
        <w:rPr>
          <w:b w:val="false"/>
          <w:bCs w:val="false"/>
          <w:sz w:val="24"/>
          <w:szCs w:val="24"/>
        </w:rPr>
        <w:t xml:space="preserve"> рублей.</w:t>
      </w:r>
    </w:p>
    <w:p>
      <w:pPr>
        <w:pStyle w:val="Normal"/>
        <w:suppressAutoHyphens w:val="true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left="0" w:right="0" w:firstLine="720"/>
        <w:jc w:val="both"/>
        <w:rPr>
          <w:b/>
          <w:bCs/>
        </w:rPr>
      </w:pPr>
      <w:r>
        <w:rPr>
          <w:b/>
          <w:bCs/>
          <w:sz w:val="24"/>
          <w:szCs w:val="24"/>
        </w:rPr>
        <w:t>10.Состояние муниципального долга муниципального образования рабочий посёлок Арсеньево Арсеньевского района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</w:t>
      </w: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Муниципальный долг в муниципальном образовании  рабочий посёлок Арсеньево Арсеньевского района по состоянию на 01.04.202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i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года отсутствует</w:t>
      </w:r>
      <w:r>
        <w:rPr>
          <w:b/>
          <w:bCs/>
          <w:sz w:val="24"/>
          <w:szCs w:val="24"/>
        </w:rPr>
        <w:t xml:space="preserve">. 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360" w:right="0" w:hanging="0"/>
        <w:jc w:val="center"/>
        <w:rPr>
          <w:b/>
          <w:bCs/>
        </w:rPr>
      </w:pPr>
      <w:r>
        <w:rPr>
          <w:b/>
          <w:bCs/>
          <w:sz w:val="24"/>
          <w:szCs w:val="24"/>
        </w:rPr>
        <w:t>Выводы и предложения:</w:t>
      </w:r>
    </w:p>
    <w:p>
      <w:pPr>
        <w:pStyle w:val="Normal"/>
        <w:jc w:val="both"/>
        <w:rPr>
          <w:b/>
          <w:bCs/>
        </w:rPr>
      </w:pPr>
      <w:r>
        <w:rPr>
          <w:b w:val="false"/>
          <w:bCs w:val="false"/>
          <w:sz w:val="24"/>
          <w:szCs w:val="24"/>
        </w:rPr>
        <w:t>- плановые показатели отчета об исполнении бюджета муниципального образования рабочий посёлок Арсеньево Арсеньевского района за 1 квартал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года соответствуют показателям утвержденным решением Собрания депутатов муниципального образования рабочий посёлок Арсеньево Арсеньевского района от 2</w:t>
      </w: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>.12.202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г. №</w:t>
      </w:r>
      <w:r>
        <w:rPr>
          <w:b w:val="false"/>
          <w:bCs w:val="false"/>
          <w:sz w:val="24"/>
          <w:szCs w:val="24"/>
        </w:rPr>
        <w:t>4-14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«Об утверждении бюджета муниципального образования рабочий посёлок Арсеньево Арсеньевского района  на 202</w:t>
      </w:r>
      <w:r>
        <w:rPr>
          <w:b w:val="false"/>
          <w:bCs w:val="false"/>
          <w:sz w:val="24"/>
          <w:szCs w:val="24"/>
        </w:rPr>
        <w:t>4</w:t>
      </w:r>
      <w:r>
        <w:rPr>
          <w:b w:val="false"/>
          <w:bCs w:val="false"/>
          <w:sz w:val="24"/>
          <w:szCs w:val="24"/>
        </w:rPr>
        <w:t xml:space="preserve"> год и плановый период 202</w:t>
      </w:r>
      <w:r>
        <w:rPr>
          <w:b w:val="false"/>
          <w:bCs w:val="false"/>
          <w:sz w:val="24"/>
          <w:szCs w:val="24"/>
        </w:rPr>
        <w:t>5</w:t>
      </w:r>
      <w:r>
        <w:rPr>
          <w:b w:val="false"/>
          <w:bCs w:val="false"/>
          <w:sz w:val="24"/>
          <w:szCs w:val="24"/>
        </w:rPr>
        <w:t xml:space="preserve"> и 202</w:t>
      </w:r>
      <w:r>
        <w:rPr>
          <w:b w:val="false"/>
          <w:bCs w:val="false"/>
          <w:sz w:val="24"/>
          <w:szCs w:val="24"/>
        </w:rPr>
        <w:t>6</w:t>
      </w:r>
      <w:r>
        <w:rPr>
          <w:b w:val="false"/>
          <w:bCs w:val="false"/>
          <w:sz w:val="24"/>
          <w:szCs w:val="24"/>
        </w:rPr>
        <w:t xml:space="preserve"> годов»;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- обратить внимание на финансирование утвержденных муниципальных программ.</w:t>
      </w:r>
    </w:p>
    <w:p>
      <w:pPr>
        <w:pStyle w:val="Normal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>Председатель КСК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4"/>
          <w:szCs w:val="24"/>
        </w:rPr>
        <w:t>МО Арсеньевский район                                                                   Н.В. Кострикова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Bloknot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30f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d31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654d"/>
    <w:rPr>
      <w:rFonts w:ascii="Tahoma" w:hAnsi="Tahoma" w:eastAsia="Times New Roman" w:cs="Tahoma"/>
      <w:sz w:val="16"/>
      <w:szCs w:val="16"/>
      <w:lang w:eastAsia="ru-RU"/>
    </w:rPr>
  </w:style>
  <w:style w:type="character" w:styleId="21">
    <w:name w:val="Основной текст (2)_"/>
    <w:qFormat/>
    <w:rPr>
      <w:rFonts w:ascii="Times New Roman" w:hAnsi="Times New Roman" w:eastAsia="Times New Roman" w:cs="Times New Roman"/>
      <w:color w:val="000000"/>
      <w:sz w:val="19"/>
      <w:szCs w:val="19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color w:val="000000"/>
      <w:sz w:val="19"/>
      <w:szCs w:val="19"/>
      <w:shd w:fill="FFFFFF" w:val="clear"/>
    </w:rPr>
  </w:style>
  <w:style w:type="character" w:styleId="Style15">
    <w:name w:val="Основной текст_"/>
    <w:qFormat/>
    <w:rPr>
      <w:rFonts w:ascii="Times New Roman" w:hAnsi="Times New Roman" w:eastAsia="Times New Roman" w:cs="Times New Roman"/>
      <w:color w:val="000000"/>
      <w:sz w:val="23"/>
      <w:szCs w:val="23"/>
      <w:shd w:fill="FFFFFF" w:val="clear"/>
    </w:rPr>
  </w:style>
  <w:style w:type="character" w:styleId="A1">
    <w:name w:val="a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0">
    <w:name w:val="20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color w:val="00000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3130f"/>
    <w:pPr>
      <w:spacing w:before="0" w:after="0"/>
      <w:ind w:left="720" w:right="0" w:hanging="0"/>
      <w:contextualSpacing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rsid w:val="00d3130f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d3130f"/>
    <w:pPr>
      <w:spacing w:lineRule="auto" w:line="480" w:before="0" w:after="120"/>
      <w:ind w:left="283" w:right="0" w:hanging="0"/>
    </w:pPr>
    <w:rPr/>
  </w:style>
  <w:style w:type="paragraph" w:styleId="1" w:customStyle="1">
    <w:name w:val="Абзац списка1"/>
    <w:basedOn w:val="Normal"/>
    <w:qFormat/>
    <w:rsid w:val="00d3130f"/>
    <w:pPr>
      <w:ind w:left="720" w:right="0" w:hanging="0"/>
    </w:pPr>
    <w:rPr>
      <w:sz w:val="20"/>
      <w:szCs w:val="20"/>
      <w:lang w:eastAsia="en-US"/>
    </w:rPr>
  </w:style>
  <w:style w:type="paragraph" w:styleId="Style23" w:customStyle="1">
    <w:name w:val="блокнот"/>
    <w:qFormat/>
    <w:rsid w:val="000a3142"/>
    <w:pPr>
      <w:widowControl/>
      <w:suppressAutoHyphens w:val="true"/>
      <w:bidi w:val="0"/>
      <w:spacing w:lineRule="atLeast" w:line="200" w:before="0" w:after="0"/>
      <w:ind w:left="0" w:right="0" w:firstLine="285"/>
      <w:jc w:val="both"/>
    </w:pPr>
    <w:rPr>
      <w:rFonts w:ascii="Bloknot" w:hAnsi="Bloknot" w:eastAsia="Calibri" w:cs="Bloknot"/>
      <w:color w:val="000000"/>
      <w:kern w:val="0"/>
      <w:sz w:val="17"/>
      <w:szCs w:val="17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654d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lineRule="exact" w:line="240" w:before="0" w:after="168"/>
    </w:pPr>
    <w:rPr>
      <w:rFonts w:ascii="Times New Roman" w:hAnsi="Times New Roman" w:eastAsia="Times New Roman" w:cs="Times New Roman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ind w:left="62" w:right="40" w:hanging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62" w:right="4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2">
    <w:name w:val="Основной текст (2)"/>
    <w:basedOn w:val="Normal"/>
    <w:qFormat/>
    <w:pPr>
      <w:shd w:fill="FFFFFF"/>
      <w:spacing w:lineRule="exact" w:line="240" w:before="0" w:after="0"/>
    </w:pPr>
    <w:rPr>
      <w:rFonts w:ascii="Times New Roman" w:hAnsi="Times New Roman" w:eastAsia="Times New Roman" w:cs="Times New Roman"/>
      <w:sz w:val="19"/>
      <w:szCs w:val="19"/>
    </w:rPr>
  </w:style>
  <w:style w:type="paragraph" w:styleId="31">
    <w:name w:val="Основной текст (3)"/>
    <w:basedOn w:val="Normal"/>
    <w:qFormat/>
    <w:pPr>
      <w:shd w:fill="FFFFFF"/>
      <w:spacing w:lineRule="exact" w:line="240" w:before="0" w:after="0"/>
      <w:ind w:left="0" w:right="0" w:hanging="380"/>
    </w:pPr>
    <w:rPr>
      <w:rFonts w:ascii="Times New Roman" w:hAnsi="Times New Roman" w:eastAsia="Times New Roman" w:cs="Times New Roman"/>
      <w:sz w:val="19"/>
      <w:szCs w:val="19"/>
    </w:rPr>
  </w:style>
  <w:style w:type="paragraph" w:styleId="11">
    <w:name w:val="Основной текст1"/>
    <w:basedOn w:val="Normal"/>
    <w:qFormat/>
    <w:pPr>
      <w:shd w:fill="FFFFFF"/>
      <w:spacing w:lineRule="exact" w:line="278" w:before="0" w:after="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12">
    <w:name w:val="12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111">
    <w:name w:val="11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30">
    <w:name w:val="30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211">
    <w:name w:val="21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LibreOffice/7.5.9.2$Windows_X86_64 LibreOffice_project/cdeefe45c17511d326101eed8008ac4092f278a9</Application>
  <AppVersion>15.0000</AppVersion>
  <Pages>4</Pages>
  <Words>1240</Words>
  <Characters>8109</Characters>
  <CharactersWithSpaces>9677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2024-04-10T12:08:38Z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