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01" w:rsidRPr="00A433AF" w:rsidRDefault="00F91FE8" w:rsidP="00A433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AF">
        <w:rPr>
          <w:rFonts w:ascii="Times New Roman" w:hAnsi="Times New Roman" w:cs="Times New Roman"/>
          <w:b/>
          <w:sz w:val="28"/>
          <w:szCs w:val="28"/>
        </w:rPr>
        <w:t>Площадка для размещения  промышленного объекта</w:t>
      </w:r>
    </w:p>
    <w:p w:rsidR="00F91FE8" w:rsidRDefault="00F91FE8" w:rsidP="00A433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3AF">
        <w:rPr>
          <w:rFonts w:ascii="Times New Roman" w:hAnsi="Times New Roman" w:cs="Times New Roman"/>
          <w:b/>
          <w:sz w:val="28"/>
          <w:szCs w:val="28"/>
        </w:rPr>
        <w:t>расположена</w:t>
      </w:r>
      <w:proofErr w:type="gramEnd"/>
      <w:r w:rsidRPr="00A433AF">
        <w:rPr>
          <w:rFonts w:ascii="Times New Roman" w:hAnsi="Times New Roman" w:cs="Times New Roman"/>
          <w:b/>
          <w:sz w:val="28"/>
          <w:szCs w:val="28"/>
        </w:rPr>
        <w:t xml:space="preserve"> на окраине поселка Арсеньево</w:t>
      </w:r>
    </w:p>
    <w:p w:rsidR="00A433AF" w:rsidRPr="00A433AF" w:rsidRDefault="00053EB2" w:rsidP="00A433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граничит с АТП</w:t>
      </w:r>
    </w:p>
    <w:tbl>
      <w:tblPr>
        <w:tblStyle w:val="a3"/>
        <w:tblW w:w="0" w:type="auto"/>
        <w:tblLook w:val="04A0"/>
      </w:tblPr>
      <w:tblGrid>
        <w:gridCol w:w="2518"/>
        <w:gridCol w:w="2552"/>
        <w:gridCol w:w="4501"/>
      </w:tblGrid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область.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Арсеньево</w:t>
            </w:r>
          </w:p>
        </w:tc>
      </w:tr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площадки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площадь</w:t>
            </w: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 га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-удаленность от областного центра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-удаленность от районного центра</w:t>
            </w: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 км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 км</w:t>
            </w:r>
          </w:p>
        </w:tc>
      </w:tr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Планировочные ограничения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-санитарно- защитные зоны от железных дорог.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АЗС, очистных сооружений;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-придорожной полосы;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-зоны ограничения до жилой застройки;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технические коридоры;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зоны</w:t>
            </w: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железной дороги   - 0,5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АЗС-1,8 км, очистных сооружений 2,8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 м.;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-расстояния до жилого массива -01 км.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-расстояния до лесного массива-0,5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-ВЛ-10 кВ №1 ПС «Даргомыжская», ВЛ-10 кВ №5 ПС «Даргомыжская»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водоохраной зоны нет.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(для земельного участка)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равнинный</w:t>
            </w:r>
          </w:p>
        </w:tc>
      </w:tr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</w:tr>
      <w:tr w:rsidR="00287901" w:rsidTr="001D3B99">
        <w:tc>
          <w:tcPr>
            <w:tcW w:w="2518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собственник</w:t>
            </w:r>
          </w:p>
        </w:tc>
        <w:tc>
          <w:tcPr>
            <w:tcW w:w="255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287901" w:rsidRDefault="00287901" w:rsidP="0028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CD">
        <w:rPr>
          <w:rFonts w:ascii="Times New Roman" w:hAnsi="Times New Roman" w:cs="Times New Roman"/>
          <w:b/>
          <w:sz w:val="28"/>
          <w:szCs w:val="28"/>
        </w:rPr>
        <w:t>Наличие инженерных коммуникаций</w:t>
      </w:r>
    </w:p>
    <w:tbl>
      <w:tblPr>
        <w:tblStyle w:val="a3"/>
        <w:tblW w:w="0" w:type="auto"/>
        <w:tblLook w:val="04A0"/>
      </w:tblPr>
      <w:tblGrid>
        <w:gridCol w:w="2486"/>
        <w:gridCol w:w="3442"/>
        <w:gridCol w:w="3643"/>
      </w:tblGrid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44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водопровода;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водонапорной башни и расстояние до нее;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мощности;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-возможность бурения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водозаборных скважин;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открытого водозабора;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питьевая, техническая)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 от жилого массива, расстояние от участка 0,1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-водонапорная  башня находится на расстоянии 0,4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-бурение водозаборных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скважин возможно;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-открытого водозабора нет;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-питьевая.</w:t>
            </w: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</w:t>
            </w:r>
          </w:p>
        </w:tc>
        <w:tc>
          <w:tcPr>
            <w:tcW w:w="344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канализации;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очистных сооружений</w:t>
            </w: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-канализации нет;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-очистных сооружений нет;</w:t>
            </w: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44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точки;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-напряжение;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ближайшей подстанции (м);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-мощность подстанции;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-резервная (незадействованная) мощность</w:t>
            </w: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-проектирование и строительство новой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-10кВ от ПС «Даргомыжская» до проектируемых объектов протяженностью 0,5 км по трассе;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ПС-110/35/10 кВ «Даргомыжская» до проектируемого участка – 0,5 км по трассе;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«Даргомыжская»-16,0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резервная мощность</w:t>
            </w: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44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газораспределительной станции;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-рабочее давление на выходе (среднее, низкое);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пропускной способности станции;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магистрального газопровода высокого давления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-2,0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-высокое 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-2,0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</w:p>
        </w:tc>
        <w:tc>
          <w:tcPr>
            <w:tcW w:w="344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ближайших  автодорог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-покрытие ближайших автодорог;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-расстояние до ближайшей железнодорожной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станции;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железнодорожных подъездных путей;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-транспортная инфраструктура (поезда, автобусы, общественный транспорт)</w:t>
            </w: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-0,1 км;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-асфальтовое;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-общественный транспорт, автобусы;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</w:t>
            </w:r>
          </w:p>
        </w:tc>
        <w:tc>
          <w:tcPr>
            <w:tcW w:w="3442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подключения к проводной сети общего пользования;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зон покрытия операторов мобильной связи</w:t>
            </w: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-прокладка кабеля ТПП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10*2 от УКС (ПМК-26) </w:t>
            </w:r>
          </w:p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901" w:rsidRPr="00CD1690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полигона для промышленных отходов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2" w:type="dxa"/>
          </w:tcPr>
          <w:p w:rsidR="00287901" w:rsidRPr="00522C57" w:rsidRDefault="00287901" w:rsidP="001D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до 2014 года планировалось строительство полигона твердых бытовых отходов, для реализации этого мероприятия была проделана работа, предшествующая проектированию полигона твердых бытовых отходов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мощностью 5 тыс. тонн в год: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ЗАО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Агроводхозпроект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в состав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предпроектных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входит смета на проектирование полигона, стоимость проектных и изыскательских работ, после проверки в РХЦЦС в ценах 2009 года составляет 3182,876 тыс. рублей;  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получена предварительная экспертиза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произведено межевание участка;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получено гидрогеологическое заключение и заключение о наличии полезных ископаемых;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получены технические условия на примыкание к автодороге регионального значения;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построена линия электропередач ВЛ-10/КВ к полигону, по программе строительства новых сетей за счет средств ОАО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Тулэнерго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7901" w:rsidRPr="00ED06DB" w:rsidRDefault="00287901" w:rsidP="001D3B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E5439" w:rsidRPr="00ED06DB" w:rsidRDefault="006E5439" w:rsidP="006E543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 уровне Правительства Тульской области рассматривается вопрос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рекультивации полигона. В муниципальной программе  комплексного развития коммунальной инфраструктуры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запланированы мероприятия по рекультивации полигона.</w:t>
            </w:r>
          </w:p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01" w:rsidRPr="00522C57" w:rsidTr="001D3B99">
        <w:tc>
          <w:tcPr>
            <w:tcW w:w="2486" w:type="dxa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Ближайшие населенные пункты</w:t>
            </w:r>
          </w:p>
        </w:tc>
        <w:tc>
          <w:tcPr>
            <w:tcW w:w="3442" w:type="dxa"/>
          </w:tcPr>
          <w:p w:rsidR="00287901" w:rsidRPr="00522C57" w:rsidRDefault="00287901" w:rsidP="001D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рабочий поселок Арсеньево – 4757 человек</w:t>
            </w:r>
          </w:p>
        </w:tc>
      </w:tr>
      <w:tr w:rsidR="00287901" w:rsidRPr="00522C57" w:rsidTr="001D3B99">
        <w:tc>
          <w:tcPr>
            <w:tcW w:w="5928" w:type="dxa"/>
            <w:gridSpan w:val="2"/>
          </w:tcPr>
          <w:p w:rsidR="00287901" w:rsidRPr="00522C57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отраслевая специализация индустриального округа</w:t>
            </w:r>
          </w:p>
        </w:tc>
        <w:tc>
          <w:tcPr>
            <w:tcW w:w="3643" w:type="dxa"/>
          </w:tcPr>
          <w:p w:rsidR="00287901" w:rsidRDefault="00287901" w:rsidP="001D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промышленных товаров и переработке сельскохозяйственной продукции</w:t>
            </w:r>
          </w:p>
        </w:tc>
      </w:tr>
    </w:tbl>
    <w:p w:rsidR="00287901" w:rsidRDefault="00287901"/>
    <w:sectPr w:rsidR="00287901" w:rsidSect="00CF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508"/>
    <w:rsid w:val="00053EB2"/>
    <w:rsid w:val="001B6508"/>
    <w:rsid w:val="00287901"/>
    <w:rsid w:val="004C122E"/>
    <w:rsid w:val="006E5439"/>
    <w:rsid w:val="00A433AF"/>
    <w:rsid w:val="00BC1E1B"/>
    <w:rsid w:val="00CF729C"/>
    <w:rsid w:val="00F9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2018-03-22T14:58:00Z</dcterms:created>
  <dcterms:modified xsi:type="dcterms:W3CDTF">2018-03-27T08:19:00Z</dcterms:modified>
</cp:coreProperties>
</file>