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КОНТРОЛЬНО-СЧЕТНАЯ КОМИССИЯ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АРСЕНЬЕВСКИЙ РАЙОН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301510, Тульская обл. п. Арсенево, ул. Папанина, д.6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Информация о  контрольном  мероприятии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pacing w:val="-4"/>
          <w:sz w:val="24"/>
          <w:szCs w:val="24"/>
        </w:rPr>
        <w:t>«Проверка целевого и эффективного использования имущества, находящегося в муниципальной собственности, и оценка эффективности управления дебиторской задолженностью по данному виду доходов».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Контрольно-счетной комиссией муниципального образования Арсеньевский район в соответствии с п. 4.3  плана работы на 2024 год, на основании приказа контрольно-счетной комиссии муниципального образования Арсеньевский район № 8 от 01.07.2024 года проведено контрольное  мероприятие</w:t>
      </w:r>
      <w:r>
        <w:rPr>
          <w:rFonts w:cs="Times New Roman" w:ascii="Times New Roman" w:hAnsi="Times New Roman"/>
          <w:b/>
          <w:bCs w:val="false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pacing w:val="-4"/>
          <w:sz w:val="24"/>
          <w:szCs w:val="24"/>
        </w:rPr>
        <w:t>«Проверка целевого и эффективного использования имущества, находящегося в муниципальной собственности, и оценка эффективности управления дебиторской задолженностью по данному виду доходов»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</w:rPr>
        <w:t>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Проверка проведена председателем контрольно-счетной комиссии муниципального образования Арсеньевский район Костриковой Н.В.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Проверка проведена за период: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2023 год.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Проверка проведена в срок: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с 03.07.2024 г. по 30.07.2024 года. 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Цели контрольного мероприятия: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проверка целевого и эффективного использования имущества, находящегося в государственной и муниципальной собственности. Оценка эффективности управления дебиторской задолженностью по доходам от использования имущества.  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 ходе контрольного мероприятия установлено следующее:  </w:t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1. Р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еестр муниципального имущества муниципального образования Арсеньевский район ведётся в произвольной форме, не утвержден нормативно-правовым актом муниципального образования. Порядок ведения муниципального имущества не разработан. Обязанность обеспечивать соблюдение правил ведения реестра муниципального имущества и требований, предъявляемых к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системе ведения реестра не прописан в нормативном документе.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>Реестр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муниципального имущества ведётся без применения специального программного обеспечения в электронном виде с дальнейшей распечаткой на бумажный носитель, не предусмотрен автоматизированный контроль за ведением базы данных, что не обеспечивает достоверность сведений Реестра.</w:t>
      </w:r>
    </w:p>
    <w:p>
      <w:pPr>
        <w:pStyle w:val="Normal"/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>3.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нарушение п.4 Порядка от 30.08.2011г. № 424 в проверяемом периоде Отделом не обеспечено полное соблюдение правил ведения реестра и требований, предъявляемых к системе ведения реестра, то есть не соблюдается его структура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.</w:t>
      </w:r>
      <w:bookmarkStart w:id="0" w:name="p_55_Копия_1"/>
      <w:bookmarkEnd w:id="0"/>
      <w:r>
        <w:rPr>
          <w:color w:val="000000"/>
          <w:sz w:val="24"/>
          <w:szCs w:val="24"/>
          <w:shd w:fill="auto" w:val="clear"/>
        </w:rPr>
        <w:tab/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4. В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ru-RU"/>
        </w:rPr>
        <w:t>еречне имущества казны не полностью учитывается  муниципальный жилой фонд, который не выведен в отдельный реестр.</w:t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ru-RU"/>
        </w:rPr>
        <w:t>5. В нарушение п.145 Инструкции № 157н наименования объектов, находящихся в бюджетном учёте в составе имущества казны и их характеристики не соответствуют Реестру муниципального имущества.</w:t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ru-RU"/>
        </w:rPr>
        <w:t>6. Реестр договоров безвозмездного пользования не утверждён муниципальным правовым актом Отдела.</w:t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ru-RU"/>
        </w:rPr>
        <w:t>7. Прогнозный план приватизации муниципального имущества МО Арсеньевский район на 2023 год, утвержденный решением Собрания представителей от 23.12.2022 г. №48/231 не выполнен.</w:t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ru-RU"/>
        </w:rPr>
        <w:t xml:space="preserve">8. В нарушение части 5 ст.51 Федерального закона от 06.10.2003 года №131-ФЗ «Об общих принципах организации местного самоуправления в российской Федерации», приказа министерства экономического развития РФ от 30.08.2011 года № 424 «Об утверждении порядка ведения органами местного самоуправления реестров муниципального имущества», к проверке представлен общий реестр муниципальной собственности, в котором объектами учета в обязательном порядке являются земельные участки. </w:t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ru-RU"/>
        </w:rPr>
        <w:t xml:space="preserve">9.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Методика прогнозирования поступлений доходов местного бюджета, закрепленных за главным администратором–Администрацией МО Арсеньевский район не разработана.</w:t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 xml:space="preserve">10.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 xml:space="preserve">В нарушение </w:t>
      </w:r>
      <w:bookmarkStart w:id="1" w:name="p_1_Копия_1"/>
      <w:bookmarkEnd w:id="1"/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Письмо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Минфина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России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 xml:space="preserve"> от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 xml:space="preserve"> </w:t>
      </w:r>
      <w:bookmarkStart w:id="2" w:name="ext-gen1813_Копия_1"/>
      <w:bookmarkEnd w:id="2"/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марта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2017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г. N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-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07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-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/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11405, Федерального закона от 06.12.2011 N 402-ФЗ п.1 ст. 11, Приказа Минфина РФ от 13 июня 1995г.N49"Об утверждении методических указаний по инвентаризации имущества и</w:t>
        <w:br/>
        <w:t>финансовых обязательств"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A1A1A"/>
          <w:spacing w:val="0"/>
          <w:sz w:val="24"/>
          <w:szCs w:val="24"/>
          <w:shd w:fill="FFFFFF" w:val="clear"/>
          <w:lang w:eastAsia="ru-RU"/>
        </w:rPr>
        <w:t>нвентаризация имущества казны не проводится. Нормативные документы по учёту имущества казны не разработаны.</w:t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 итогам контрольного мероприятия направлены представления для устранения выявленных нарушений.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Информация по проведённому контрольному мероприятию направлена в Собрание представителей муниципального образования Арсеньевский район, Собрание депутатов МО Астаповское и МО Манаенское Арсеньевского района.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Председатель контрольно-счетной комиссии 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муниципального образования  </w:t>
      </w:r>
    </w:p>
    <w:p>
      <w:pPr>
        <w:pStyle w:val="Normal"/>
        <w:spacing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Арсеньевский район                  </w:t>
        <w:tab/>
        <w:t xml:space="preserve">                                        Н.В. Кострикова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3" w:name="_GoBack"/>
      <w:bookmarkStart w:id="4" w:name="_GoBack"/>
      <w:bookmarkEnd w:id="4"/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3"/>
      <w:type w:val="nextPage"/>
      <w:pgSz w:w="11906" w:h="16838"/>
      <w:pgMar w:left="1701" w:right="1701" w:gutter="0" w:header="0" w:top="567" w:footer="340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9902316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223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qFormat/>
    <w:rsid w:val="001d11a2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1d11a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d11a2"/>
    <w:rPr/>
  </w:style>
  <w:style w:type="character" w:styleId="-">
    <w:name w:val="Hyperlink"/>
    <w:basedOn w:val="DefaultParagraphFont"/>
    <w:uiPriority w:val="99"/>
    <w:unhideWhenUsed/>
    <w:rsid w:val="00ae1f5d"/>
    <w:rPr>
      <w:color w:val="0000FF" w:themeColor="hyperlink"/>
      <w:u w:val="single"/>
    </w:rPr>
  </w:style>
  <w:style w:type="character" w:styleId="Style17">
    <w:name w:val="Выделение"/>
    <w:qFormat/>
    <w:rPr>
      <w:i/>
      <w:iCs/>
    </w:rPr>
  </w:style>
  <w:style w:type="character" w:styleId="S10">
    <w:name w:val="s_10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ighlightsearch">
    <w:name w:val="highlightsearch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8">
    <w:name w:val="Emphasis"/>
    <w:qFormat/>
    <w:rPr>
      <w:i/>
      <w:iCs/>
    </w:rPr>
  </w:style>
  <w:style w:type="character" w:styleId="Blk">
    <w:name w:val="blk"/>
    <w:basedOn w:val="DefaultParagraph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ejaVu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e223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19e"/>
    <w:pPr>
      <w:spacing w:before="0" w:after="20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1d11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uiPriority w:val="99"/>
    <w:unhideWhenUsed/>
    <w:rsid w:val="001d11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>
    <w:name w:val="Абзац списка1"/>
    <w:basedOn w:val="Normal"/>
    <w:qFormat/>
    <w:pPr>
      <w:spacing w:lineRule="auto" w:line="276"/>
      <w:ind w:left="720" w:hanging="0"/>
      <w:jc w:val="left"/>
    </w:pPr>
    <w:rPr>
      <w:rFonts w:eastAsia="Times New Roma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1">
    <w:name w:val="s_1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/>
      <w:lang w:eastAsia="ru-RU"/>
    </w:rPr>
  </w:style>
  <w:style w:type="paragraph" w:styleId="NormalWeb">
    <w:name w:val="Normal (Web)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/>
      <w:lang w:eastAsia="ru-RU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819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8715-0568-4811-923D-D2EA653F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LibreOffice/7.5.9.2$Windows_X86_64 LibreOffice_project/cdeefe45c17511d326101eed8008ac4092f278a9</Application>
  <AppVersion>15.0000</AppVersion>
  <Pages>2</Pages>
  <Words>500</Words>
  <Characters>3764</Characters>
  <CharactersWithSpaces>4371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dc:description/>
  <dc:language>ru-RU</dc:language>
  <cp:lastModifiedBy/>
  <cp:lastPrinted>2023-06-02T09:37:59Z</cp:lastPrinted>
  <dcterms:modified xsi:type="dcterms:W3CDTF">2024-08-13T11:29:56Z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