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2D" w:rsidRPr="002A2258" w:rsidRDefault="006A1C2D" w:rsidP="006A1C2D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6A1C2D" w:rsidRPr="002A2258" w:rsidRDefault="006A1C2D" w:rsidP="006A1C2D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tbl>
      <w:tblPr>
        <w:tblStyle w:val="a4"/>
        <w:tblW w:w="0" w:type="auto"/>
        <w:tblInd w:w="-834" w:type="dxa"/>
        <w:tblLayout w:type="fixed"/>
        <w:tblLook w:val="04A0"/>
      </w:tblPr>
      <w:tblGrid>
        <w:gridCol w:w="5665"/>
        <w:gridCol w:w="4530"/>
      </w:tblGrid>
      <w:tr w:rsidR="006A1C2D" w:rsidRPr="00957999" w:rsidTr="006A1C2D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6A1C2D" w:rsidRPr="00957999" w:rsidRDefault="006A1C2D" w:rsidP="00311AE2">
            <w:pPr>
              <w:pStyle w:val="a3"/>
              <w:jc w:val="center"/>
              <w:rPr>
                <w:rFonts w:ascii="PT Astra Serif" w:hAnsi="PT Astra Serif"/>
                <w:color w:val="FF0000"/>
                <w:sz w:val="22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</w:t>
            </w:r>
          </w:p>
          <w:p w:rsidR="006A1C2D" w:rsidRPr="00957999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Pr="00957999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объекта культурного наследия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6A1C2D" w:rsidRPr="006A1C2D" w:rsidRDefault="006A1C2D" w:rsidP="00311AE2">
            <w:pPr>
              <w:pStyle w:val="a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A1C2D">
              <w:rPr>
                <w:rFonts w:ascii="PT Astra Serif" w:hAnsi="PT Astra Serif"/>
                <w:bCs/>
                <w:sz w:val="28"/>
                <w:szCs w:val="28"/>
              </w:rPr>
              <w:t>Братская могила с захоронением воинов, погибших в боях в период Великой Отечественной войны 1941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Pr="006A1C2D">
              <w:rPr>
                <w:rFonts w:ascii="PT Astra Serif" w:hAnsi="PT Astra Serif"/>
                <w:bCs/>
                <w:sz w:val="28"/>
                <w:szCs w:val="28"/>
              </w:rPr>
              <w:t>1945 гг.</w:t>
            </w:r>
          </w:p>
          <w:p w:rsidR="006A1C2D" w:rsidRPr="00957999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90A7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Местонахождение</w:t>
            </w:r>
          </w:p>
          <w:p w:rsidR="006A1C2D" w:rsidRPr="006A1C2D" w:rsidRDefault="006A1C2D" w:rsidP="006A1C2D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A1C2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Арсеньевский район</w:t>
            </w:r>
          </w:p>
          <w:p w:rsidR="006A1C2D" w:rsidRPr="00B90A7D" w:rsidRDefault="006A1C2D" w:rsidP="006A1C2D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A1C2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пос. Арсеньево</w:t>
            </w:r>
          </w:p>
          <w:p w:rsidR="006A1C2D" w:rsidRPr="00957999" w:rsidRDefault="006A1C2D" w:rsidP="00311AE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6A1C2D" w:rsidRPr="00957999" w:rsidTr="006A1C2D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6A1C2D" w:rsidRPr="00957999" w:rsidRDefault="006A1C2D" w:rsidP="00311AE2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6A1C2D" w:rsidRPr="00957999" w:rsidRDefault="006A1C2D" w:rsidP="00311AE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89176" cy="211409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025" t="3337" r="51817" b="70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125" cy="2116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6A1C2D" w:rsidRDefault="006A1C2D" w:rsidP="00311AE2">
            <w:pPr>
              <w:pStyle w:val="a3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6A1C2D" w:rsidRDefault="006A1C2D" w:rsidP="00311AE2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6A1C2D" w:rsidRPr="00B44908" w:rsidRDefault="006A1C2D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геолокация</w:t>
            </w:r>
            <w:proofErr w:type="spellEnd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Географические координ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аты захоронения: 53.7366610 –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.ш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.; 36.6618500 – в.</w:t>
            </w: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7940" cy="1689735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68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C2D" w:rsidRPr="00B44908" w:rsidRDefault="006A1C2D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6A1C2D" w:rsidRDefault="006A1C2D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6A1C2D" w:rsidRDefault="006A1C2D" w:rsidP="006A1C2D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Братская могила советских воинов, погибших в период ВОВ. Братская могила размером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х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7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м. Состояние захоронения удовлетворительное.</w:t>
            </w:r>
          </w:p>
          <w:p w:rsidR="006A1C2D" w:rsidRDefault="006A1C2D" w:rsidP="006A1C2D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1969 г. установлен гранитный памятник-монумент с мемориалом, на котором нанесены фамилии захороненных. Имеются зеленые насаждения и цветник.</w:t>
            </w:r>
          </w:p>
          <w:p w:rsidR="006A1C2D" w:rsidRDefault="006A1C2D" w:rsidP="006A1C2D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Количество захороненных: всего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410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известных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409, неизвестных 1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6A1C2D" w:rsidRPr="006A1C2D" w:rsidRDefault="006A1C2D" w:rsidP="006A1C2D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В братскую могилу перезахоронены останки воинов 401 СП, 239 СП, 1175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ЗенАП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1140 СП, 960 СП, 213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кав.полка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1281 СП 60 СД, 584 АП, 1085 АП, 18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погран.полка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734 ИАП, 54 Гв минометного полка, 88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погран.полка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417 отдельной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разведроты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160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кав.пока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172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кав.полка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1148 СП, 37 СП, 105 отдельной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lastRenderedPageBreak/>
              <w:t>стрелк.бригады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войсковых частей 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6A1C2D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35428, 57647, 82739, 64233, 04741, 19359, 55293, 277 Гв АП, 948 АП, погибших при освобождении Арсеньевского района, а так же умершие от ран в госпиталях: 439,440, 491 МСБ, 121, 682,15, 651,661, 59 ППГ.</w:t>
            </w:r>
          </w:p>
        </w:tc>
      </w:tr>
      <w:tr w:rsidR="006A1C2D" w:rsidRPr="00957999" w:rsidTr="006A1C2D">
        <w:tc>
          <w:tcPr>
            <w:tcW w:w="10195" w:type="dxa"/>
            <w:gridSpan w:val="2"/>
            <w:tcBorders>
              <w:top w:val="nil"/>
            </w:tcBorders>
          </w:tcPr>
          <w:p w:rsidR="006A1C2D" w:rsidRPr="00224CEB" w:rsidRDefault="006A1C2D" w:rsidP="00311AE2">
            <w:pPr>
              <w:jc w:val="both"/>
              <w:rPr>
                <w:rFonts w:ascii="PT Astra Serif" w:hAnsi="PT Astra Serif"/>
                <w:bCs/>
                <w:color w:val="FF0000"/>
              </w:rPr>
            </w:pPr>
          </w:p>
        </w:tc>
      </w:tr>
    </w:tbl>
    <w:p w:rsidR="006A1C2D" w:rsidRDefault="006A1C2D" w:rsidP="006A1C2D"/>
    <w:p w:rsidR="00E40264" w:rsidRDefault="00E40264"/>
    <w:sectPr w:rsidR="00E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A1C2D"/>
    <w:rsid w:val="006A1C2D"/>
    <w:rsid w:val="00E4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A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6A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2023-11-23T07:00:00Z</dcterms:created>
  <dcterms:modified xsi:type="dcterms:W3CDTF">2023-11-23T07:07:00Z</dcterms:modified>
</cp:coreProperties>
</file>